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[Organization Name]</w:t>
      </w:r>
    </w:p>
    <w:p>
      <w:pPr>
        <w:pStyle w:val="Heading1"/>
        <w:jc w:val="center"/>
      </w:pPr>
      <w:r>
        <w:t xml:space="preserve">HIPAA Sanction Policy</w:t>
      </w:r>
    </w:p>
    <w:p>
      <w:pPr>
        <w:jc w:val="center"/>
      </w:pPr>
      <w:r>
        <w:rPr>
          <w:i/>
          <w:iCs/>
          <w:sz w:val="20"/>
          <w:szCs w:val="20"/>
        </w:rPr>
        <w:t xml:space="preserve">HIPAA Security &amp; Privacy Rules — 45 CFR §164.308(a)(1)(ii)(C) and §164.530(e)(1)</w:t>
      </w:r>
    </w:p>
    <w:p/>
    <w:p>
      <w:r>
        <w:t xml:space="preserve">This policy establishes the sanctions [Organization Name] applies to workforce members who fail to comply with its HIPAA privacy and security policies and procedures, as required by 45 CFR §164.308(a)(1)(ii)(C) and 45 CFR §164.530(e)(1). It defines a tiered sanction framework, documentation requirements, and the relationship between sanctions and breach response, so that discipline is applied consistently and defensibly.</w:t>
      </w:r>
    </w:p>
    <w:p>
      <w:pPr>
        <w:pStyle w:val="Heading2"/>
        <w:spacing w:before="240"/>
      </w:pPr>
      <w:r>
        <w:t xml:space="preserve">1. Purpose and Regulatory Basis</w:t>
      </w:r>
    </w:p>
    <w:p>
      <w:pPr>
        <w:spacing w:after="120"/>
      </w:pPr>
      <w:r>
        <w:t xml:space="preserve">The HIPAA Security Rule requires covered entities and business associates to "apply appropriate sanctions against workforce members who fail to comply with the security policies and procedures of the covered entity or business associate" (45 CFR §164.308(a)(1)(ii)(C)). The HIPAA Privacy Rule imposes a parallel requirement for violations of privacy policies and procedures (45 CFR §164.530(e)(1)).</w:t>
      </w:r>
    </w:p>
    <w:p>
      <w:pPr>
        <w:spacing w:after="120"/>
      </w:pPr>
      <w:r>
        <w:t xml:space="preserve">The purpose of this policy is to satisfy those requirements by defining how [Organization Name] identifies, evaluates, and sanctions workforce noncompliance with its HIPAA policies and procedures in a consistent, proportionate, and documented manner.</w:t>
      </w:r>
    </w:p>
    <w:p>
      <w:pPr>
        <w:pStyle w:val="Heading2"/>
        <w:spacing w:before="240"/>
      </w:pPr>
      <w:r>
        <w:t xml:space="preserve">2. Scope</w:t>
      </w:r>
    </w:p>
    <w:p>
      <w:pPr>
        <w:spacing w:after="120"/>
      </w:pPr>
      <w:r>
        <w:t xml:space="preserve">This policy applies to all workforce members of [Organization Name] as defined at 45 CFR §160.103, including employees, volunteers, trainees, and other persons whose conduct, in the performance of work for [Organization Name], is under its direct control, whether or not they are paid by [Organization Name]. It applies to violations of any HIPAA privacy or security policy or procedure adopted by [Organization Name], regardless of whether the violation results in an impermissible use or disclosure of protected health information (PHI).</w:t>
      </w:r>
    </w:p>
    <w:p>
      <w:pPr>
        <w:spacing w:after="120"/>
      </w:pPr>
      <w:r>
        <w:t xml:space="preserve">Contractors and business associates are not sanctioned under this policy; noncompliance by those parties is addressed through the applicable contract or business associate agreement (45 CFR §164.314(a)).</w:t>
      </w:r>
    </w:p>
    <w:p>
      <w:pPr>
        <w:pStyle w:val="Heading2"/>
        <w:spacing w:before="240"/>
      </w:pPr>
      <w:r>
        <w:t xml:space="preserve">3. Policy Statements</w:t>
      </w:r>
    </w:p>
    <w:p>
      <w:pPr>
        <w:spacing w:after="120"/>
      </w:pPr>
      <w:r>
        <w:t xml:space="preserve">[Organization Name] will apply sanctions to any workforce member who violates its HIPAA privacy or security policies and procedures. Sanctions will be proportionate to the nature, severity, and circumstances of the violation, applied consistently across roles and departments, and documented as described in Section 5.</w:t>
      </w:r>
    </w:p>
    <w:p>
      <w:pPr>
        <w:spacing w:after="120"/>
      </w:pPr>
      <w:r>
        <w:t xml:space="preserve">Factors considered when determining the appropriate sanction include: whether the violation was accidental, negligent, or intentional; whether PHI was accessed, used, or disclosed and the volume and sensitivity involved; whether the workforce member self-reported; whether the workforce member has prior violations; and whether the violation indicates a gap in training rather than misconduct.</w:t>
      </w:r>
    </w:p>
    <w:p>
      <w:pPr>
        <w:spacing w:after="120"/>
      </w:pPr>
      <w:r>
        <w:t xml:space="preserve">No sanction level in this policy limits [Organization Name]'s right to impose a more severe sanction, up to and including immediate termination and referral to law enforcement, where the circumstances warrant it.</w:t>
      </w:r>
    </w:p>
    <w:p>
      <w:pPr>
        <w:pStyle w:val="Heading2"/>
        <w:spacing w:before="240"/>
      </w:pPr>
      <w:r>
        <w:t xml:space="preserve">4. Tiered Sanction Framework</w:t>
      </w:r>
    </w:p>
    <w:p>
      <w:pPr>
        <w:spacing w:after="120"/>
      </w:pPr>
      <w:r>
        <w:t xml:space="preserve">Sanctions are applied in tiers. Repeat violations at any tier escalate to the next tier. The [Privacy Officer/Security Officer], in coordination with [Human Resources Department] and the workforce member's supervisor, determines the tier.</w:t>
      </w:r>
    </w:p>
    <w:p>
      <w:pPr>
        <w:spacing w:after="120"/>
      </w:pPr>
      <w:r>
        <w:t xml:space="preserve">Tier 1 — Verbal counseling and retraining. For minor, first-time, unintentional violations with no or minimal PHI exposure. Examples: leaving a workstation unlocked in a restricted area; discussing PHI in a semi-public area without an identifiable recipient overhearing; a first missed deadline for required HIPAA training.</w:t>
      </w:r>
    </w:p>
    <w:p>
      <w:pPr>
        <w:spacing w:after="120"/>
      </w:pPr>
      <w:r>
        <w:t xml:space="preserve">Tier 2 — Written warning and mandatory retraining. For repeated Tier 1 conduct or negligent violations creating meaningful risk to PHI. Examples: emailing PHI to an incorrect internal recipient; storing PHI on an unapproved device or service; sharing login credentials for [System Name]; failing to report a known or suspected security incident.</w:t>
      </w:r>
    </w:p>
    <w:p>
      <w:pPr>
        <w:spacing w:after="120"/>
      </w:pPr>
      <w:r>
        <w:t xml:space="preserve">Tier 3 — Suspension, final written warning, and/or removal of access privileges. For serious negligence or a pattern of Tier 2 conduct. Examples: accessing the records of a patient without a job-related need (including family members, coworkers, or public figures); disabling or circumventing a security control; repeated failure to complete corrective retraining.</w:t>
      </w:r>
    </w:p>
    <w:p>
      <w:pPr>
        <w:spacing w:after="120"/>
      </w:pPr>
      <w:r>
        <w:t xml:space="preserve">Tier 4 — Termination of employment or workforce relationship. For intentional or malicious violations. Examples: unauthorized disclosure of PHI to third parties; theft, sale, or use of PHI for personal gain; accessing PHI with intent to harm; falsifying records to conceal a violation. Where conduct may violate law, [Organization Name] may refer the matter to law enforcement or regulators as appropriate.</w:t>
      </w:r>
    </w:p>
    <w:p>
      <w:pPr>
        <w:pStyle w:val="Heading2"/>
        <w:spacing w:before="240"/>
      </w:pPr>
      <w:r>
        <w:t xml:space="preserve">5. Documentation Requirements</w:t>
      </w:r>
    </w:p>
    <w:p>
      <w:pPr>
        <w:spacing w:after="120"/>
      </w:pPr>
      <w:r>
        <w:t xml:space="preserve">All sanctions applied under this policy must be documented in writing (45 CFR §164.530(e)(2)). Documentation must include: the workforce member's name and role; a description of the violation and the policy or procedure violated; the investigation performed; the sanction applied and its tier; retraining or corrective actions required; and the names and titles of the personnel who determined and approved the sanction.</w:t>
      </w:r>
    </w:p>
    <w:p>
      <w:pPr>
        <w:spacing w:after="120"/>
      </w:pPr>
      <w:r>
        <w:t xml:space="preserve">Sanction documentation is retained by [Human Resources Department] and the [Privacy Officer/Security Officer] for a minimum of six (6) years from the date of its creation or the date when it last was in effect, whichever is later, consistent with 45 CFR §164.316(b)(2)(i) and 45 CFR §164.530(j)(2).</w:t>
      </w:r>
    </w:p>
    <w:p>
      <w:pPr>
        <w:pStyle w:val="Heading2"/>
        <w:spacing w:before="240"/>
      </w:pPr>
      <w:r>
        <w:t xml:space="preserve">6. Non-Retaliation and Whistleblower Protection</w:t>
      </w:r>
    </w:p>
    <w:p>
      <w:pPr>
        <w:spacing w:after="120"/>
      </w:pPr>
      <w:r>
        <w:t xml:space="preserve">[Organization Name] will not sanction, intimidate, threaten, coerce, discriminate against, or take other retaliatory action against any workforce member for: filing a complaint with [Organization Name] or with the Secretary of Health and Human Services; testifying, assisting, or participating in an investigation, compliance review, proceeding, or hearing; or opposing in good faith any act or practice the member reasonably believes is unlawful, as required by 45 CFR §164.530(g) and 45 CFR §160.316.</w:t>
      </w:r>
    </w:p>
    <w:p>
      <w:pPr>
        <w:spacing w:after="120"/>
      </w:pPr>
      <w:r>
        <w:t xml:space="preserve">Sanctions do not apply to disclosures by workforce members that meet the whistleblower conditions of 45 CFR §164.502(j). Good-faith self-reporting of a violation will be treated as a mitigating factor in sanction determinations.</w:t>
      </w:r>
    </w:p>
    <w:p>
      <w:pPr>
        <w:pStyle w:val="Heading2"/>
        <w:spacing w:before="240"/>
      </w:pPr>
      <w:r>
        <w:t xml:space="preserve">7. Relationship to Breach Notification and Incident Response</w:t>
      </w:r>
    </w:p>
    <w:p>
      <w:pPr>
        <w:spacing w:after="120"/>
      </w:pPr>
      <w:r>
        <w:t xml:space="preserve">Sanction proceedings are separate from, and do not replace, security incident response under 45 CFR §164.308(a)(6) or breach assessment and notification under the Breach Notification Rule (45 CFR §§164.400–414). When a violation involves an impermissible use or disclosure of unsecured PHI, the [Privacy Officer/Security Officer] must first initiate the breach risk assessment and any required notifications on the timeline the Breach Notification Rule requires; sanction determinations proceed in parallel and must not delay notification.</w:t>
      </w:r>
    </w:p>
    <w:p>
      <w:pPr>
        <w:spacing w:after="120"/>
      </w:pPr>
      <w:r>
        <w:t xml:space="preserve">Mitigation of harmful effects of a violation, as required by 45 CFR §164.530(f), is undertaken regardless of the sanction outcome.</w:t>
      </w:r>
    </w:p>
    <w:p>
      <w:pPr>
        <w:pStyle w:val="Heading2"/>
        <w:spacing w:before="240"/>
      </w:pPr>
      <w:r>
        <w:t xml:space="preserve">8. Roles and Responsibilities</w:t>
      </w:r>
    </w:p>
    <w:p>
      <w:pPr>
        <w:spacing w:after="120"/>
      </w:pPr>
      <w:r>
        <w:t xml:space="preserve">The [Security Officer] and [Privacy Officer] jointly administer this policy, investigate reported violations, and recommend sanction tiers. [Human Resources Department] executes sanctions in accordance with employment policies and applicable law. Supervisors must report suspected violations to the [Privacy Officer/Security Officer] within [X business days] of becoming aware of them. All workforce members must report suspected violations through [Reporting Channel, e.g., compliance hotline or email].</w:t>
      </w:r>
    </w:p>
    <w:p>
      <w:pPr>
        <w:pStyle w:val="Heading2"/>
        <w:spacing w:before="240"/>
      </w:pPr>
      <w:r>
        <w:t xml:space="preserve">9. Enforcement, Review, and Approval</w:t>
      </w:r>
    </w:p>
    <w:p>
      <w:pPr>
        <w:spacing w:after="120"/>
      </w:pPr>
      <w:r>
        <w:t xml:space="preserve">Failure to report a known violation, or interference with an investigation under this policy, is itself a sanctionable violation. This policy is reviewed at least [annually] by the [Privacy Officer/Security Officer] and updated in response to environmental or operational changes affecting the security of electronic PHI, consistent with 45 CFR §164.306(e) and §164.316(b)(2)(iii).</w:t>
      </w:r>
    </w:p>
    <w:p>
      <w:pPr>
        <w:spacing w:after="120"/>
      </w:pPr>
      <w:r>
        <w:t xml:space="preserve">Approved by: [Name], [Role/Title] — Effective Date: [Date] — Last Reviewed: [Date] — Version: [X.X]</w:t>
      </w:r>
    </w:p>
    <w:p>
      <w:pPr>
        <w:pStyle w:val="Heading2"/>
        <w:spacing w:before="240"/>
      </w:pPr>
      <w:r>
        <w:t xml:space="preserve">Document control</w:t>
      </w:r>
    </w:p>
    <w:p>
      <w:pPr>
        <w:pStyle w:val="ListParagraph"/>
        <w:numPr>
          <w:ilvl w:val="0"/>
          <w:numId w:val="1"/>
        </w:numPr>
      </w:pPr>
      <w:r>
        <w:t xml:space="preserve">Version: [1.0]</w:t>
      </w:r>
    </w:p>
    <w:p>
      <w:pPr>
        <w:pStyle w:val="ListParagraph"/>
        <w:numPr>
          <w:ilvl w:val="0"/>
          <w:numId w:val="1"/>
        </w:numPr>
      </w:pPr>
      <w:r>
        <w:t xml:space="preserve">Owner: [Role/Title]</w:t>
      </w:r>
    </w:p>
    <w:p>
      <w:pPr>
        <w:pStyle w:val="ListParagraph"/>
        <w:numPr>
          <w:ilvl w:val="0"/>
          <w:numId w:val="1"/>
        </w:numPr>
      </w:pPr>
      <w:r>
        <w:t xml:space="preserve">Approved by: [Name, Title]</w:t>
      </w:r>
    </w:p>
    <w:p>
      <w:pPr>
        <w:pStyle w:val="ListParagraph"/>
        <w:numPr>
          <w:ilvl w:val="0"/>
          <w:numId w:val="1"/>
        </w:numPr>
      </w:pPr>
      <w:r>
        <w:t xml:space="preserve">Effective date: [Date]</w:t>
      </w:r>
    </w:p>
    <w:p>
      <w:pPr>
        <w:pStyle w:val="ListParagraph"/>
        <w:numPr>
          <w:ilvl w:val="0"/>
          <w:numId w:val="1"/>
        </w:numPr>
      </w:pPr>
      <w:r>
        <w:t xml:space="preserve">Next review date: [Date]</w:t>
      </w:r>
    </w:p>
    <w:p/>
    <w:p>
      <w:r>
        <w:rPr>
          <w:i/>
          <w:iCs/>
          <w:sz w:val="18"/>
          <w:szCs w:val="18"/>
        </w:rPr>
        <w:t xml:space="preserve">Free template from ComplianceDocs (compliancedocshq.com). Customize every [bracketed placeholder] to how your organization actually operates. No template makes an organization certified or compliant on its own.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Sanction Policy</dc:title>
  <dc:creator>ComplianceDocs</dc:creator>
  <cp:lastModifiedBy>Un-named</cp:lastModifiedBy>
  <cp:revision>1</cp:revision>
  <dcterms:created xsi:type="dcterms:W3CDTF">2026-07-12T00:26:23.672Z</dcterms:created>
  <dcterms:modified xsi:type="dcterms:W3CDTF">2026-07-12T00:26:23.673Z</dcterms:modified>
</cp:coreProperties>
</file>

<file path=docProps/custom.xml><?xml version="1.0" encoding="utf-8"?>
<Properties xmlns="http://schemas.openxmlformats.org/officeDocument/2006/custom-properties" xmlns:vt="http://schemas.openxmlformats.org/officeDocument/2006/docPropsVTypes"/>
</file>