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[Organization Name]</w:t>
      </w:r>
    </w:p>
    <w:p>
      <w:pPr>
        <w:pStyle w:val="Heading1"/>
        <w:jc w:val="center"/>
      </w:pPr>
      <w:r>
        <w:t xml:space="preserve">Vulnerability and Patch Management Policy</w:t>
      </w:r>
    </w:p>
    <w:p>
      <w:pPr>
        <w:jc w:val="center"/>
      </w:pPr>
      <w:r>
        <w:rPr>
          <w:i/>
          <w:iCs/>
          <w:sz w:val="20"/>
          <w:szCs w:val="20"/>
        </w:rPr>
        <w:t xml:space="preserve">ISO/IEC 27001:2022 — ISO/IEC 27001:2022 Annex A 8.8 (Management of technical vulnerabilities)</w:t>
      </w:r>
    </w:p>
    <w:p/>
    <w:p>
      <w:r>
        <w:t xml:space="preserve">This policy defines how [Organization Name] identifies technical vulnerabilities in the systems it operates, rates their severity, applies patches and other remediation within defined timeframes, and verifies the result. It addresses ISO/IEC 27001:2022 Annex A control 8.8. Every bracketed placeholder, including the remediation windows in Section 6, must be replaced with values your organization can actually meet before this document is adopted.</w:t>
      </w:r>
    </w:p>
    <w:p>
      <w:pPr>
        <w:pStyle w:val="Heading2"/>
        <w:spacing w:before="240"/>
      </w:pPr>
      <w:r>
        <w:t xml:space="preserve">1. Purpose</w:t>
      </w:r>
    </w:p>
    <w:p>
      <w:pPr>
        <w:spacing w:after="120"/>
      </w:pPr>
      <w:r>
        <w:t xml:space="preserve">The purpose of this policy is to establish how [Organization Name] obtains information about technical vulnerabilities in the information systems it uses, evaluates its exposure to them, and takes measures to address the resulting risk. It addresses ISO/IEC 27001:2022 Annex A control 8.8 (Management of technical vulnerabilities) and operates alongside the organization's configuration management (Annex A 8.9) and change management (Annex A 8.32) practices.</w:t>
      </w:r>
    </w:p>
    <w:p>
      <w:pPr>
        <w:pStyle w:val="Heading2"/>
        <w:spacing w:before="240"/>
      </w:pPr>
      <w:r>
        <w:t xml:space="preserve">2. Scope and Asset Coverage</w:t>
      </w:r>
    </w:p>
    <w:p>
      <w:pPr>
        <w:spacing w:after="120"/>
      </w:pPr>
      <w:r>
        <w:t xml:space="preserve">This policy applies to every asset recorded in [Asset Inventory / CMDB] that falls within the boundary set by [ISMS Scope Statement]: servers, workstations, [Mobile Device Fleet], operating systems, hypervisors, container images, network and security appliances, firmware, databases, in-house code, third-party and open-source dependencies, and [Cloud Provider] services that [Organization Name] is responsible for patching. Each in-scope asset has a named owner in the inventory (Annex A 5.9); assets patched by suppliers are governed through [Supplier Security Requirements].</w:t>
      </w:r>
    </w:p>
    <w:p>
      <w:pPr>
        <w:pStyle w:val="Heading2"/>
        <w:spacing w:before="240"/>
      </w:pPr>
      <w:r>
        <w:t xml:space="preserve">3. Roles and Responsibilities</w:t>
      </w:r>
    </w:p>
    <w:p>
      <w:pPr>
        <w:spacing w:after="120"/>
      </w:pPr>
      <w:r>
        <w:t xml:space="preserve">[Role/Title, e.g., Information Security Manager] owns this policy and operates the vulnerability management process. [Role/Title, e.g., IT Operations Manager] deploys patches to infrastructure and endpoints within the timeframes in Section 6. [Role/Title, e.g., Engineering Lead] remediates vulnerabilities in application code and third-party dependencies. Asset owners approve maintenance windows, supply the business context used in Section 5, and request any exception under Section 9.</w:t>
      </w:r>
    </w:p>
    <w:p>
      <w:pPr>
        <w:pStyle w:val="Heading2"/>
        <w:spacing w:before="240"/>
      </w:pPr>
      <w:r>
        <w:t xml:space="preserve">4. Vulnerability Identification and Information Sources</w:t>
      </w:r>
    </w:p>
    <w:p>
      <w:pPr>
        <w:spacing w:after="120"/>
      </w:pPr>
      <w:r>
        <w:t xml:space="preserve">[Organization Name] draws vulnerability information from several sources: authenticated scans of [Internal Network Ranges] and [External / Internet-Facing Assets] run at least [Scan Frequency]; dependency and container image scanning in [CI/CD Pipeline]; vendor security advisories for the products in use; public CVE feeds such as [CVE / NVD Feed] and [National CERT Source]; penetration tests performed [Penetration Test Frequency]; and reports received at [Vulnerability Disclosure Contact]. This monitoring is coordinated with the organization's threat intelligence activity (Annex A 5.7), and every finding is logged in [Vulnerability Tracking System].</w:t>
      </w:r>
    </w:p>
    <w:p>
      <w:pPr>
        <w:pStyle w:val="Heading2"/>
        <w:spacing w:before="240"/>
      </w:pPr>
      <w:r>
        <w:t xml:space="preserve">5. Severity Rating and Risk Assessment</w:t>
      </w:r>
    </w:p>
    <w:p>
      <w:pPr>
        <w:spacing w:after="120"/>
      </w:pPr>
      <w:r>
        <w:t xml:space="preserve">Each finding receives a severity rating derived from [Severity Scale, e.g., CVSS base score] and adjusted by [Role/Title] to reflect actual risk, taking account of asset criticality and data classification, network exposure, evidence of a public exploit or active exploitation, and mitigating controls already in place. The resulting rating — Critical, High, Medium, or Low, or the equivalent labels used in [Severity Scale] — sets the remediation timeframe and is recorded with its justification in [Vulnerability Tracking System].</w:t>
      </w:r>
    </w:p>
    <w:p>
      <w:pPr>
        <w:pStyle w:val="Heading2"/>
        <w:spacing w:before="240"/>
      </w:pPr>
      <w:r>
        <w:t xml:space="preserve">6. Remediation Timeframes by Severity</w:t>
      </w:r>
    </w:p>
    <w:p>
      <w:pPr>
        <w:spacing w:after="120"/>
      </w:pPr>
      <w:r>
        <w:t xml:space="preserve">Remediation time runs from the date a finding is confirmed as applicable to an in-scope asset. [Organization Name] remediates Critical findings within [Critical Remediation Window], High findings within [High Remediation Window], Medium findings within [Medium Remediation Window], and Low findings within [Low Remediation Window] or at the next scheduled maintenance cycle. Assets listed in [Critical Systems List] and internet-facing assets follow [Accelerated Remediation Schedule]. Remediation may be a vendor patch, a version upgrade, removal of the affected component, or a configuration change that eliminates the exposure.</w:t>
      </w:r>
    </w:p>
    <w:p>
      <w:pPr>
        <w:pStyle w:val="Heading2"/>
        <w:spacing w:before="240"/>
      </w:pPr>
      <w:r>
        <w:t xml:space="preserve">7. Patch Testing, Deployment, and Verification</w:t>
      </w:r>
    </w:p>
    <w:p>
      <w:pPr>
        <w:spacing w:after="120"/>
      </w:pPr>
      <w:r>
        <w:t xml:space="preserve">Patches are tested in [Test / Staging Environment] and approved through [Change Management Policy] before installation on operational systems (Annex A 8.19). After deployment, [Role/Title] verifies that the patch applied by confirming version or build numbers in [Patch Management Tool] and re-scanning the affected assets. A finding is closed in [Vulnerability Tracking System] only on that evidence; a deployment report alone is not sufficient. Patches that fail or are rolled back are re-scheduled.</w:t>
      </w:r>
    </w:p>
    <w:p>
      <w:pPr>
        <w:pStyle w:val="Heading2"/>
        <w:spacing w:before="240"/>
      </w:pPr>
      <w:r>
        <w:t xml:space="preserve">8. Emergency and Out-of-Band Patching</w:t>
      </w:r>
    </w:p>
    <w:p>
      <w:pPr>
        <w:spacing w:after="120"/>
      </w:pPr>
      <w:r>
        <w:t xml:space="preserve">Where a vulnerability is under active exploitation, is rated Critical on an internet-facing asset, or is subject to a directive from [Regulator / National CERT / Customer], [Role/Title] may authorize out-of-band patching outside the normal maintenance window and with abbreviated testing. The authorization, the reason, and the systems affected are recorded at the time. Emergency changes receive retrospective review under [Change Management Policy] within [Retrospective Review Period], and the verification requirements in Section 7 still apply.</w:t>
      </w:r>
    </w:p>
    <w:p>
      <w:pPr>
        <w:pStyle w:val="Heading2"/>
        <w:spacing w:before="240"/>
      </w:pPr>
      <w:r>
        <w:t xml:space="preserve">9. Exceptions, Reporting, Enforcement, and Review</w:t>
      </w:r>
    </w:p>
    <w:p>
      <w:pPr>
        <w:spacing w:after="120"/>
      </w:pPr>
      <w:r>
        <w:t xml:space="preserve">Where a finding cannot be remediated within its timeframe, the asset owner must obtain a written exception from [Role/Title] before the deadline. The request states the reason, the residual risk, the compensating controls applied (for example network segmentation, restricted administrative access, virtual patching at [WAF / IPS], or additional monitoring), and an expiry date no later than [Maximum Exception Period]. Exceptions are recorded in [Risk Register] and renewed only by re-approval.</w:t>
      </w:r>
    </w:p>
    <w:p>
      <w:pPr>
        <w:spacing w:after="120"/>
      </w:pPr>
      <w:r>
        <w:t xml:space="preserve">[Role/Title] reports to [Management Forum] at least [Reporting Frequency] on open findings by severity, remediation completed inside and outside the applicable windows, scan and verification coverage across [Asset Inventory / CMDB], and all open exceptions.</w:t>
      </w:r>
    </w:p>
    <w:p>
      <w:pPr>
        <w:spacing w:after="120"/>
      </w:pPr>
      <w:r>
        <w:t xml:space="preserve">Failure to comply with this policy may result in disciplinary action under [HR / Sanctions Policy]. This policy is reviewed at least [Review Frequency, e.g., annually] and after significant changes to the organization's systems, threat environment, or applicable requirements. Version History: [Version] | [Date] | [Author] | [Summary of Changes] | [Approved By].</w:t>
      </w:r>
    </w:p>
    <w:p>
      <w:pPr>
        <w:pStyle w:val="Heading2"/>
        <w:spacing w:before="240"/>
      </w:pPr>
      <w:r>
        <w:t xml:space="preserve">Document control</w:t>
      </w:r>
    </w:p>
    <w:p>
      <w:pPr>
        <w:pStyle w:val="ListParagraph"/>
        <w:numPr>
          <w:ilvl w:val="0"/>
          <w:numId w:val="1"/>
        </w:numPr>
      </w:pPr>
      <w:r>
        <w:t xml:space="preserve">Version: [1.0]</w:t>
      </w:r>
    </w:p>
    <w:p>
      <w:pPr>
        <w:pStyle w:val="ListParagraph"/>
        <w:numPr>
          <w:ilvl w:val="0"/>
          <w:numId w:val="1"/>
        </w:numPr>
      </w:pPr>
      <w:r>
        <w:t xml:space="preserve">Owner: [Role/Title]</w:t>
      </w:r>
    </w:p>
    <w:p>
      <w:pPr>
        <w:pStyle w:val="ListParagraph"/>
        <w:numPr>
          <w:ilvl w:val="0"/>
          <w:numId w:val="1"/>
        </w:numPr>
      </w:pPr>
      <w:r>
        <w:t xml:space="preserve">Approved by: [Name, Title]</w:t>
      </w:r>
    </w:p>
    <w:p>
      <w:pPr>
        <w:pStyle w:val="ListParagraph"/>
        <w:numPr>
          <w:ilvl w:val="0"/>
          <w:numId w:val="1"/>
        </w:numPr>
      </w:pPr>
      <w:r>
        <w:t xml:space="preserve">Effective date: [Date]</w:t>
      </w:r>
    </w:p>
    <w:p>
      <w:pPr>
        <w:pStyle w:val="ListParagraph"/>
        <w:numPr>
          <w:ilvl w:val="0"/>
          <w:numId w:val="1"/>
        </w:numPr>
      </w:pPr>
      <w:r>
        <w:t xml:space="preserve">Next review date: [Date]</w:t>
      </w:r>
    </w:p>
    <w:p/>
    <w:p>
      <w:r>
        <w:rPr>
          <w:i/>
          <w:iCs/>
          <w:sz w:val="18"/>
          <w:szCs w:val="18"/>
        </w:rPr>
        <w:t xml:space="preserve">Free template from ComplianceDocs (compliancedocshq.com). Customize every [bracketed placeholder] to how your organization actually operates. No template makes an organization certified or compliant on its own.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Vulnerability and Patch Management Policy</dc:title>
  <dc:creator>ComplianceDocs</dc:creator>
  <cp:lastModifiedBy>Un-named</cp:lastModifiedBy>
  <cp:revision>1</cp:revision>
  <dcterms:created xsi:type="dcterms:W3CDTF">2026-07-26T21:58:34.008Z</dcterms:created>
  <dcterms:modified xsi:type="dcterms:W3CDTF">2026-07-26T21:58:34.008Z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